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CF" w:rsidRPr="005F1ECF" w:rsidRDefault="005F1ECF" w:rsidP="005F1ECF">
      <w:pPr>
        <w:pStyle w:val="xmsonormal"/>
        <w:jc w:val="center"/>
        <w:rPr>
          <w:rFonts w:ascii="Times New Roman" w:hAnsi="Times New Roman" w:cs="Times New Roman"/>
          <w:b/>
        </w:rPr>
      </w:pPr>
      <w:r w:rsidRPr="005F1ECF">
        <w:rPr>
          <w:rFonts w:ascii="Times New Roman" w:hAnsi="Times New Roman" w:cs="Times New Roman"/>
          <w:b/>
        </w:rPr>
        <w:t>Novartis HEOR and Medical Access Fellowships</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rPr>
        <w:t xml:space="preserve">Novartis Pharmaceuticals Corporation is pleased to offer three 2-year Health Economics &amp; Outcomes Research and Medical Access Fellowship positions. These two-year fellowships will provide training and hands-on experience in a broad range of health economics, outcomes research, and comparative effectiveness research (CER) as conducted in academic, managed care, hospital, health policy, and/or pharmaceutical industry settings.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rPr>
        <w:t xml:space="preserve">The fellow will spend the first year of the fellowship at an academic institution and the second year at Novartis Pharmaceuticals Corporation in East Hanover, New Jersey.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b/>
          <w:bCs/>
        </w:rPr>
        <w:t xml:space="preserve">First-year Fellowship Sites: </w:t>
      </w:r>
    </w:p>
    <w:p w:rsidR="005F1ECF" w:rsidRPr="005F1ECF" w:rsidRDefault="005F1ECF" w:rsidP="005F1ECF">
      <w:pPr>
        <w:pStyle w:val="xmsonormal"/>
        <w:spacing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Baylor Scott and White Health/</w:t>
      </w:r>
      <w:proofErr w:type="gramStart"/>
      <w:r w:rsidRPr="005F1ECF">
        <w:rPr>
          <w:rFonts w:ascii="Times New Roman" w:hAnsi="Times New Roman" w:cs="Times New Roman"/>
          <w:color w:val="000000"/>
        </w:rPr>
        <w:t>The</w:t>
      </w:r>
      <w:proofErr w:type="gramEnd"/>
      <w:r w:rsidRPr="005F1ECF">
        <w:rPr>
          <w:rFonts w:ascii="Times New Roman" w:hAnsi="Times New Roman" w:cs="Times New Roman"/>
          <w:color w:val="000000"/>
        </w:rPr>
        <w:t xml:space="preserve"> University of Texas at Austin </w:t>
      </w:r>
    </w:p>
    <w:p w:rsidR="005F1ECF" w:rsidRPr="005F1ECF" w:rsidRDefault="005F1ECF" w:rsidP="005F1ECF">
      <w:pPr>
        <w:pStyle w:val="xmsonormal"/>
        <w:spacing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 xml:space="preserve">University of Maryland </w:t>
      </w:r>
    </w:p>
    <w:p w:rsidR="005F1ECF" w:rsidRPr="005F1ECF" w:rsidRDefault="005F1ECF" w:rsidP="005F1ECF">
      <w:pPr>
        <w:pStyle w:val="xmsonormal"/>
        <w:spacing w:beforeAutospacing="0" w:after="160" w:afterAutospacing="0"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 xml:space="preserve">Thomas Jefferson University </w:t>
      </w:r>
    </w:p>
    <w:p w:rsidR="005F1ECF" w:rsidRPr="005F1ECF" w:rsidRDefault="005F1ECF" w:rsidP="005F1ECF">
      <w:pPr>
        <w:pStyle w:val="xmsonormal"/>
        <w:rPr>
          <w:rFonts w:ascii="Times New Roman" w:hAnsi="Times New Roman" w:cs="Times New Roman"/>
        </w:rPr>
      </w:pPr>
      <w:bookmarkStart w:id="0" w:name="x_m_4302350035715500655__heading=h.gjdgx"/>
      <w:bookmarkEnd w:id="0"/>
      <w:r w:rsidRPr="005F1ECF">
        <w:rPr>
          <w:rFonts w:ascii="Times New Roman" w:hAnsi="Times New Roman" w:cs="Times New Roman"/>
        </w:rPr>
        <w:t>The objective of the first year is to educate the fellow on general principles and methods applied in HEOR. Concurrently, the fellow will participate in ongoing outcomes research projects at the first year fellowship site. The fellowship positions differ by first-year site requirements and type of experience offered. During the second year, fellows will participate in HEOR projects and gain experience in how a pharmaceutical manufacturer uses clinical, economic, and humanistic data to support the development and commercialization of its products, with potential opportunities in neuroscience, respiratory, ophthalmology, immunology, dermatology, cardiovascular, and transplant franchises. Starting this year, a unique rotational opportunity (3-6 months) will be available on the Medical Access team based on fellow interests, where the fellow will help identify strategic trends in the external payer and health plan environment that may impact access to and reimbursement for Novartis’ products.</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b/>
          <w:bCs/>
        </w:rPr>
        <w:t xml:space="preserve">Application Process (rolling submission, application deadline is </w:t>
      </w:r>
      <w:r w:rsidRPr="005F1ECF">
        <w:rPr>
          <w:rFonts w:ascii="Times New Roman" w:hAnsi="Times New Roman" w:cs="Times New Roman"/>
          <w:b/>
          <w:bCs/>
          <w:color w:val="FF0000"/>
        </w:rPr>
        <w:t>November 6, 2020</w:t>
      </w:r>
      <w:r w:rsidRPr="005F1ECF">
        <w:rPr>
          <w:rFonts w:ascii="Times New Roman" w:hAnsi="Times New Roman" w:cs="Times New Roman"/>
          <w:b/>
          <w:bCs/>
        </w:rPr>
        <w:t xml:space="preserve">)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rPr>
        <w:t xml:space="preserve">To apply, please email </w:t>
      </w:r>
      <w:hyperlink r:id="rId4" w:tgtFrame="_blank" w:history="1">
        <w:r w:rsidRPr="005F1ECF">
          <w:rPr>
            <w:rStyle w:val="Hyperlink"/>
            <w:rFonts w:ascii="Times New Roman" w:hAnsi="Times New Roman" w:cs="Times New Roman"/>
            <w:color w:val="0563C1"/>
          </w:rPr>
          <w:t>esther.yi@novartis.com</w:t>
        </w:r>
      </w:hyperlink>
      <w:r w:rsidRPr="005F1ECF">
        <w:rPr>
          <w:rFonts w:ascii="Times New Roman" w:hAnsi="Times New Roman" w:cs="Times New Roman"/>
        </w:rPr>
        <w:t xml:space="preserve"> and include the following materials: </w:t>
      </w:r>
    </w:p>
    <w:p w:rsidR="005F1ECF" w:rsidRPr="005F1ECF" w:rsidRDefault="005F1ECF" w:rsidP="005F1ECF">
      <w:pPr>
        <w:pStyle w:val="xmsonormal"/>
        <w:spacing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Cover Letter</w:t>
      </w:r>
    </w:p>
    <w:p w:rsidR="005F1ECF" w:rsidRPr="005F1ECF" w:rsidRDefault="005F1ECF" w:rsidP="005F1ECF">
      <w:pPr>
        <w:pStyle w:val="xmsonormal"/>
        <w:spacing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Include ranking of first-year fellowship site</w:t>
      </w:r>
    </w:p>
    <w:p w:rsidR="005F1ECF" w:rsidRPr="005F1ECF" w:rsidRDefault="005F1ECF" w:rsidP="005F1ECF">
      <w:pPr>
        <w:pStyle w:val="xmsonormal"/>
        <w:spacing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CV</w:t>
      </w:r>
    </w:p>
    <w:p w:rsidR="005F1ECF" w:rsidRPr="005F1ECF" w:rsidRDefault="005F1ECF" w:rsidP="005F1ECF">
      <w:pPr>
        <w:pStyle w:val="xmsonormal"/>
        <w:spacing w:beforeAutospacing="0" w:after="160" w:afterAutospacing="0"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 xml:space="preserve">Email of 2 References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rPr>
        <w:t xml:space="preserve">If offered an interview, the following documents will be requested: </w:t>
      </w:r>
    </w:p>
    <w:p w:rsidR="005F1ECF" w:rsidRPr="005F1ECF" w:rsidRDefault="005F1ECF" w:rsidP="005F1ECF">
      <w:pPr>
        <w:pStyle w:val="xmsonormal"/>
        <w:spacing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 xml:space="preserve">2 Letters of Recommendation (sent via email from references) </w:t>
      </w:r>
    </w:p>
    <w:p w:rsidR="005F1ECF" w:rsidRPr="005F1ECF" w:rsidRDefault="005F1ECF" w:rsidP="005F1ECF">
      <w:pPr>
        <w:pStyle w:val="xmsonormal"/>
        <w:spacing w:beforeAutospacing="0" w:after="160" w:afterAutospacing="0" w:line="252" w:lineRule="auto"/>
        <w:ind w:left="720"/>
        <w:rPr>
          <w:rFonts w:ascii="Times New Roman" w:hAnsi="Times New Roman" w:cs="Times New Roman"/>
        </w:rPr>
      </w:pPr>
      <w:r w:rsidRPr="005F1ECF">
        <w:rPr>
          <w:rFonts w:ascii="Times New Roman" w:hAnsi="Times New Roman" w:cs="Times New Roman"/>
        </w:rPr>
        <w:t>●</w:t>
      </w:r>
      <w:r w:rsidRPr="005F1ECF">
        <w:rPr>
          <w:rFonts w:ascii="Times New Roman" w:hAnsi="Times New Roman" w:cs="Times New Roman"/>
          <w:sz w:val="14"/>
          <w:szCs w:val="14"/>
        </w:rPr>
        <w:t xml:space="preserve">      </w:t>
      </w:r>
      <w:r w:rsidRPr="005F1ECF">
        <w:rPr>
          <w:rFonts w:ascii="Times New Roman" w:hAnsi="Times New Roman" w:cs="Times New Roman"/>
          <w:color w:val="000000"/>
        </w:rPr>
        <w:t xml:space="preserve">Unofficial Transcript </w:t>
      </w:r>
    </w:p>
    <w:p w:rsidR="005F1ECF" w:rsidRDefault="005F1ECF" w:rsidP="005F1ECF">
      <w:pPr>
        <w:pStyle w:val="xmsonormal"/>
        <w:rPr>
          <w:rFonts w:ascii="Times New Roman" w:hAnsi="Times New Roman" w:cs="Times New Roman"/>
        </w:rPr>
      </w:pPr>
    </w:p>
    <w:p w:rsidR="005F1ECF" w:rsidRDefault="005F1ECF" w:rsidP="005F1ECF">
      <w:pPr>
        <w:pStyle w:val="xmsonormal"/>
        <w:rPr>
          <w:rFonts w:ascii="Times New Roman" w:hAnsi="Times New Roman" w:cs="Times New Roman"/>
        </w:rPr>
      </w:pPr>
    </w:p>
    <w:p w:rsidR="005F1ECF" w:rsidRPr="005F1ECF" w:rsidRDefault="005F1ECF" w:rsidP="005F1ECF">
      <w:pPr>
        <w:pStyle w:val="xmsonormal"/>
        <w:rPr>
          <w:rFonts w:ascii="Times New Roman" w:hAnsi="Times New Roman" w:cs="Times New Roman"/>
        </w:rPr>
      </w:pP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b/>
          <w:bCs/>
          <w:u w:val="single"/>
        </w:rPr>
        <w:lastRenderedPageBreak/>
        <w:t xml:space="preserve">Requirements: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rPr>
        <w:t>Graduate degree in a relevant discipline focused on pharmacy, health services research, health economics, epidemiology, or related discipline (e.g. PharmD, PhD, MPH, etc.). A background in pharmacy or medicine and experience in outcomes research, health economics, or another related field of research is preferred. Excellent communications skills (oral and written). Demonstrated success in working in teams and independently.</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b/>
          <w:bCs/>
          <w:i/>
          <w:iCs/>
        </w:rPr>
        <w:t xml:space="preserve">We will be holding an informational webinar and highly recommend you attend to ask questions and learn more about the program.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b/>
          <w:bCs/>
        </w:rPr>
        <w:t>We will have two meeting options. Please attend the session that works for you. Please RSVP here (</w:t>
      </w:r>
      <w:hyperlink r:id="rId5" w:tgtFrame="_blank" w:history="1">
        <w:r w:rsidRPr="005F1ECF">
          <w:rPr>
            <w:rStyle w:val="Hyperlink"/>
            <w:rFonts w:ascii="Times New Roman" w:hAnsi="Times New Roman" w:cs="Times New Roman"/>
            <w:b/>
            <w:bCs/>
            <w:color w:val="0563C1"/>
          </w:rPr>
          <w:t>link</w:t>
        </w:r>
      </w:hyperlink>
      <w:r w:rsidRPr="005F1ECF">
        <w:rPr>
          <w:rFonts w:ascii="Times New Roman" w:hAnsi="Times New Roman" w:cs="Times New Roman"/>
          <w:b/>
          <w:bCs/>
        </w:rPr>
        <w:t xml:space="preserve">) to receive the webinar invitation. </w:t>
      </w:r>
    </w:p>
    <w:p w:rsidR="005F1ECF" w:rsidRPr="005F1ECF" w:rsidRDefault="005F1ECF" w:rsidP="005F1ECF">
      <w:pPr>
        <w:pStyle w:val="xmsonormal"/>
        <w:ind w:left="720"/>
        <w:rPr>
          <w:rFonts w:ascii="Times New Roman" w:hAnsi="Times New Roman" w:cs="Times New Roman"/>
        </w:rPr>
      </w:pPr>
      <w:r w:rsidRPr="005F1ECF">
        <w:rPr>
          <w:rFonts w:ascii="Times New Roman" w:hAnsi="Times New Roman" w:cs="Times New Roman"/>
          <w:b/>
          <w:bCs/>
        </w:rPr>
        <w:t>Webinar #1: October 12</w:t>
      </w:r>
      <w:r w:rsidRPr="005F1ECF">
        <w:rPr>
          <w:rFonts w:ascii="Times New Roman" w:hAnsi="Times New Roman" w:cs="Times New Roman"/>
          <w:b/>
          <w:bCs/>
          <w:vertAlign w:val="superscript"/>
        </w:rPr>
        <w:t>th</w:t>
      </w:r>
      <w:r w:rsidRPr="005F1ECF">
        <w:rPr>
          <w:rFonts w:ascii="Times New Roman" w:hAnsi="Times New Roman" w:cs="Times New Roman"/>
          <w:b/>
          <w:bCs/>
        </w:rPr>
        <w:t>, 6 PM-7PM EST</w:t>
      </w:r>
      <w:bookmarkStart w:id="1" w:name="_GoBack"/>
      <w:bookmarkEnd w:id="1"/>
    </w:p>
    <w:p w:rsidR="005F1ECF" w:rsidRPr="005F1ECF" w:rsidRDefault="005F1ECF" w:rsidP="005F1ECF">
      <w:pPr>
        <w:pStyle w:val="xmsonormal"/>
        <w:ind w:left="720"/>
        <w:rPr>
          <w:rFonts w:ascii="Times New Roman" w:hAnsi="Times New Roman" w:cs="Times New Roman"/>
        </w:rPr>
      </w:pPr>
      <w:r w:rsidRPr="005F1ECF">
        <w:rPr>
          <w:rFonts w:ascii="Times New Roman" w:hAnsi="Times New Roman" w:cs="Times New Roman"/>
          <w:b/>
          <w:bCs/>
        </w:rPr>
        <w:t>Webinar #2: October 14</w:t>
      </w:r>
      <w:r w:rsidRPr="005F1ECF">
        <w:rPr>
          <w:rFonts w:ascii="Times New Roman" w:hAnsi="Times New Roman" w:cs="Times New Roman"/>
          <w:b/>
          <w:bCs/>
          <w:vertAlign w:val="superscript"/>
        </w:rPr>
        <w:t>th</w:t>
      </w:r>
      <w:r w:rsidRPr="005F1ECF">
        <w:rPr>
          <w:rFonts w:ascii="Times New Roman" w:hAnsi="Times New Roman" w:cs="Times New Roman"/>
          <w:b/>
          <w:bCs/>
        </w:rPr>
        <w:t>, 9PM-10PM EST </w:t>
      </w:r>
    </w:p>
    <w:p w:rsidR="005F1ECF" w:rsidRPr="005F1ECF" w:rsidRDefault="005F1ECF" w:rsidP="005F1ECF">
      <w:pPr>
        <w:pStyle w:val="xmsonormal"/>
        <w:rPr>
          <w:rFonts w:ascii="Times New Roman" w:hAnsi="Times New Roman" w:cs="Times New Roman"/>
        </w:rPr>
      </w:pPr>
      <w:r w:rsidRPr="005F1ECF">
        <w:rPr>
          <w:rFonts w:ascii="Times New Roman" w:hAnsi="Times New Roman" w:cs="Times New Roman"/>
        </w:rPr>
        <w:t xml:space="preserve">We look forward to seeing you there. For any further questions, please email </w:t>
      </w:r>
      <w:hyperlink r:id="rId6" w:tgtFrame="_blank" w:history="1">
        <w:r w:rsidRPr="005F1ECF">
          <w:rPr>
            <w:rStyle w:val="Hyperlink"/>
            <w:rFonts w:ascii="Times New Roman" w:hAnsi="Times New Roman" w:cs="Times New Roman"/>
            <w:color w:val="0563C1"/>
          </w:rPr>
          <w:t>esther.yi@novartis.com</w:t>
        </w:r>
      </w:hyperlink>
      <w:r w:rsidRPr="005F1ECF">
        <w:rPr>
          <w:rFonts w:ascii="Times New Roman" w:hAnsi="Times New Roman" w:cs="Times New Roman"/>
        </w:rPr>
        <w:t xml:space="preserve"> </w:t>
      </w:r>
    </w:p>
    <w:p w:rsidR="009E2554" w:rsidRPr="005F1ECF" w:rsidRDefault="009E2554">
      <w:pPr>
        <w:rPr>
          <w:rFonts w:ascii="Times New Roman" w:hAnsi="Times New Roman" w:cs="Times New Roman"/>
        </w:rPr>
      </w:pPr>
    </w:p>
    <w:p w:rsidR="005F1ECF" w:rsidRPr="005F1ECF" w:rsidRDefault="005F1ECF">
      <w:pPr>
        <w:rPr>
          <w:rFonts w:ascii="Times New Roman" w:hAnsi="Times New Roman" w:cs="Times New Roman"/>
        </w:rPr>
      </w:pPr>
    </w:p>
    <w:sectPr w:rsidR="005F1ECF" w:rsidRPr="005F1ECF" w:rsidSect="005F1ECF">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CF"/>
    <w:rsid w:val="005F1ECF"/>
    <w:rsid w:val="009E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B949-1B1D-4269-8934-621F6220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ECF"/>
    <w:rPr>
      <w:color w:val="0000FF"/>
      <w:u w:val="single"/>
    </w:rPr>
  </w:style>
  <w:style w:type="paragraph" w:customStyle="1" w:styleId="xmsonormal">
    <w:name w:val="x_msonormal"/>
    <w:basedOn w:val="Normal"/>
    <w:rsid w:val="005F1ECF"/>
    <w:pPr>
      <w:spacing w:before="100" w:beforeAutospacing="1" w:after="100" w:afterAutospacing="1" w:line="240" w:lineRule="auto"/>
    </w:pPr>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her.yi@novartis.com" TargetMode="External"/><Relationship Id="rId5" Type="http://schemas.openxmlformats.org/officeDocument/2006/relationships/hyperlink" Target="https://forms.gle/MKvEaqPebbEW18rA7" TargetMode="External"/><Relationship Id="rId4" Type="http://schemas.openxmlformats.org/officeDocument/2006/relationships/hyperlink" Target="mailto:esther.yi@novar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2020-10-07T00:27:00Z</dcterms:created>
  <dcterms:modified xsi:type="dcterms:W3CDTF">2020-10-07T00:30:00Z</dcterms:modified>
</cp:coreProperties>
</file>